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EC" w:rsidRDefault="00010CEC" w:rsidP="00010CEC">
      <w:pPr>
        <w:pStyle w:val="NormaleWeb"/>
        <w:shd w:val="clear" w:color="auto" w:fill="FFFFFF"/>
        <w:spacing w:after="284" w:afterAutospacing="0"/>
        <w:jc w:val="both"/>
        <w:rPr>
          <w:color w:val="500050"/>
        </w:rPr>
      </w:pPr>
      <w:r>
        <w:rPr>
          <w:rFonts w:ascii="Calibri" w:hAnsi="Calibri" w:cs="Calibri"/>
          <w:b/>
          <w:bCs/>
          <w:color w:val="500050"/>
          <w:sz w:val="27"/>
          <w:szCs w:val="27"/>
          <w:u w:val="single"/>
        </w:rPr>
        <w:t>I due corti vincitori ex-aequo e le rispettive motivazioni:</w:t>
      </w:r>
    </w:p>
    <w:p w:rsidR="00010CEC" w:rsidRDefault="00010CEC" w:rsidP="00010CEC">
      <w:pPr>
        <w:pStyle w:val="NormaleWeb"/>
        <w:shd w:val="clear" w:color="auto" w:fill="FFFFFF"/>
        <w:spacing w:after="284" w:afterAutospacing="0"/>
        <w:jc w:val="both"/>
        <w:rPr>
          <w:color w:val="500050"/>
        </w:rPr>
      </w:pPr>
      <w:r>
        <w:rPr>
          <w:rFonts w:ascii="Calibri" w:hAnsi="Calibri" w:cs="Calibri"/>
          <w:b/>
          <w:bCs/>
          <w:i/>
          <w:iCs/>
          <w:color w:val="C5000B"/>
          <w:sz w:val="27"/>
          <w:szCs w:val="27"/>
        </w:rPr>
        <w:t>Ecovid</w:t>
      </w:r>
      <w:r>
        <w:rPr>
          <w:rFonts w:ascii="Calibri" w:hAnsi="Calibri" w:cs="Calibri"/>
          <w:color w:val="500050"/>
          <w:sz w:val="27"/>
          <w:szCs w:val="27"/>
        </w:rPr>
        <w:t>, di 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Alessia Fischetti</w:t>
      </w:r>
      <w:r>
        <w:rPr>
          <w:rFonts w:ascii="Calibri" w:hAnsi="Calibri" w:cs="Calibri"/>
          <w:color w:val="500050"/>
          <w:sz w:val="27"/>
          <w:szCs w:val="27"/>
        </w:rPr>
        <w:t> e 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Sofia Borrelli</w:t>
      </w:r>
      <w:r>
        <w:rPr>
          <w:rFonts w:ascii="Calibri" w:hAnsi="Calibri" w:cs="Calibri"/>
          <w:color w:val="500050"/>
          <w:sz w:val="27"/>
          <w:szCs w:val="27"/>
        </w:rPr>
        <w:t> - </w:t>
      </w:r>
      <w:r>
        <w:rPr>
          <w:rFonts w:ascii="Calibri" w:hAnsi="Calibri" w:cs="Calibri"/>
          <w:i/>
          <w:iCs/>
          <w:color w:val="500050"/>
          <w:sz w:val="27"/>
          <w:szCs w:val="27"/>
        </w:rPr>
        <w:t>Per il taglio poetico ma molto preciso nel diretto confronto con il disastro di questo momento. Un messaggio di speranza mai banale.</w:t>
      </w:r>
    </w:p>
    <w:p w:rsidR="00010CEC" w:rsidRDefault="00010CEC" w:rsidP="00010CEC">
      <w:pPr>
        <w:pStyle w:val="NormaleWeb"/>
        <w:shd w:val="clear" w:color="auto" w:fill="FFFFFF"/>
        <w:spacing w:after="284" w:afterAutospacing="0"/>
        <w:jc w:val="both"/>
        <w:rPr>
          <w:color w:val="500050"/>
        </w:rPr>
      </w:pPr>
      <w:r>
        <w:rPr>
          <w:rFonts w:ascii="Calibri" w:hAnsi="Calibri" w:cs="Calibri"/>
          <w:b/>
          <w:bCs/>
          <w:i/>
          <w:iCs/>
          <w:color w:val="C5000B"/>
          <w:sz w:val="27"/>
          <w:szCs w:val="27"/>
        </w:rPr>
        <w:t>Noi cinesi in realtà siamo tutti dei cloni,</w:t>
      </w:r>
      <w:r>
        <w:rPr>
          <w:rFonts w:ascii="Calibri" w:hAnsi="Calibri" w:cs="Calibri"/>
          <w:b/>
          <w:bCs/>
          <w:i/>
          <w:iCs/>
          <w:color w:val="500050"/>
          <w:sz w:val="27"/>
          <w:szCs w:val="27"/>
        </w:rPr>
        <w:t> </w:t>
      </w:r>
      <w:r>
        <w:rPr>
          <w:rFonts w:ascii="Calibri" w:hAnsi="Calibri" w:cs="Calibri"/>
          <w:color w:val="500050"/>
          <w:sz w:val="27"/>
          <w:szCs w:val="27"/>
        </w:rPr>
        <w:t>di 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Alessio Hong</w:t>
      </w:r>
      <w:r>
        <w:rPr>
          <w:rFonts w:ascii="Calibri" w:hAnsi="Calibri" w:cs="Calibri"/>
          <w:color w:val="500050"/>
          <w:sz w:val="27"/>
          <w:szCs w:val="27"/>
        </w:rPr>
        <w:t> - </w:t>
      </w:r>
      <w:r>
        <w:rPr>
          <w:rFonts w:ascii="Calibri" w:hAnsi="Calibri" w:cs="Calibri"/>
          <w:i/>
          <w:iCs/>
          <w:color w:val="500050"/>
          <w:sz w:val="27"/>
          <w:szCs w:val="27"/>
        </w:rPr>
        <w:t>Per la combinazione innovativa dei linguaggi e la sottile ironia nell’affrontare temi centrali in questo momento di confusione e disinformazione</w:t>
      </w:r>
      <w:r>
        <w:rPr>
          <w:rFonts w:ascii="Calibri" w:hAnsi="Calibri" w:cs="Calibri"/>
          <w:color w:val="500050"/>
          <w:sz w:val="27"/>
          <w:szCs w:val="27"/>
        </w:rPr>
        <w:t>.</w:t>
      </w:r>
    </w:p>
    <w:p w:rsidR="00010CEC" w:rsidRDefault="00010CEC" w:rsidP="00010CEC">
      <w:pPr>
        <w:pStyle w:val="NormaleWeb"/>
        <w:shd w:val="clear" w:color="auto" w:fill="FFFFFF"/>
        <w:spacing w:after="284" w:afterAutospacing="0"/>
        <w:jc w:val="both"/>
        <w:rPr>
          <w:color w:val="500050"/>
        </w:rPr>
      </w:pPr>
      <w:r>
        <w:rPr>
          <w:rFonts w:ascii="Calibri" w:hAnsi="Calibri" w:cs="Calibri"/>
          <w:b/>
          <w:bCs/>
          <w:color w:val="500050"/>
          <w:sz w:val="27"/>
          <w:szCs w:val="27"/>
          <w:u w:val="single"/>
        </w:rPr>
        <w:t>Tre le Menzioni Speciali e le rispettive motivazioni:</w:t>
      </w:r>
    </w:p>
    <w:p w:rsidR="00010CEC" w:rsidRDefault="00010CEC" w:rsidP="00010CEC">
      <w:pPr>
        <w:pStyle w:val="NormaleWeb"/>
        <w:shd w:val="clear" w:color="auto" w:fill="FFFFFF"/>
        <w:spacing w:after="284" w:afterAutospacing="0"/>
        <w:jc w:val="both"/>
        <w:rPr>
          <w:color w:val="500050"/>
        </w:rPr>
      </w:pPr>
      <w:r>
        <w:rPr>
          <w:rFonts w:ascii="Calibri" w:hAnsi="Calibri" w:cs="Calibri"/>
          <w:b/>
          <w:bCs/>
          <w:i/>
          <w:iCs/>
          <w:color w:val="C5000B"/>
          <w:sz w:val="27"/>
          <w:szCs w:val="27"/>
        </w:rPr>
        <w:t>Otropiel</w:t>
      </w:r>
      <w:r>
        <w:rPr>
          <w:rFonts w:ascii="Calibri" w:hAnsi="Calibri" w:cs="Calibri"/>
          <w:color w:val="500050"/>
          <w:sz w:val="27"/>
          <w:szCs w:val="27"/>
        </w:rPr>
        <w:t>, di 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Tole - </w:t>
      </w:r>
      <w:r>
        <w:rPr>
          <w:rFonts w:ascii="Calibri" w:hAnsi="Calibri" w:cs="Calibri"/>
          <w:i/>
          <w:iCs/>
          <w:color w:val="500050"/>
          <w:sz w:val="27"/>
          <w:szCs w:val="27"/>
        </w:rPr>
        <w:t>Per avere, in queste settimane di “detenzione forzata”, lasciato evadere la fantasia grazie alla quale Tole ci introduce in un mondo notturno e sconosciuto, popolato da idoli e simbologie misteriose. Il tutto narrato in una neolingua convincente ancorché volutamente incomprensibile.</w:t>
      </w:r>
    </w:p>
    <w:p w:rsidR="00010CEC" w:rsidRDefault="00010CEC" w:rsidP="00010CEC">
      <w:pPr>
        <w:pStyle w:val="NormaleWeb"/>
        <w:shd w:val="clear" w:color="auto" w:fill="FFFFFF"/>
        <w:spacing w:after="284" w:afterAutospacing="0"/>
        <w:jc w:val="both"/>
        <w:rPr>
          <w:color w:val="500050"/>
        </w:rPr>
      </w:pPr>
      <w:r>
        <w:rPr>
          <w:rFonts w:ascii="Calibri" w:hAnsi="Calibri" w:cs="Calibri"/>
          <w:b/>
          <w:bCs/>
          <w:i/>
          <w:iCs/>
          <w:color w:val="C5000B"/>
          <w:sz w:val="27"/>
          <w:szCs w:val="27"/>
        </w:rPr>
        <w:t>ConTatto</w:t>
      </w:r>
      <w:r>
        <w:rPr>
          <w:rFonts w:ascii="Calibri" w:hAnsi="Calibri" w:cs="Calibri"/>
          <w:color w:val="500050"/>
          <w:sz w:val="27"/>
          <w:szCs w:val="27"/>
        </w:rPr>
        <w:t>,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 </w:t>
      </w:r>
      <w:r>
        <w:rPr>
          <w:rFonts w:ascii="Calibri" w:hAnsi="Calibri" w:cs="Calibri"/>
          <w:color w:val="500050"/>
          <w:sz w:val="27"/>
          <w:szCs w:val="27"/>
        </w:rPr>
        <w:t>di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 Diletta Marcella Laezza </w:t>
      </w:r>
      <w:r>
        <w:rPr>
          <w:rFonts w:ascii="Calibri" w:hAnsi="Calibri" w:cs="Calibri"/>
          <w:color w:val="500050"/>
          <w:sz w:val="27"/>
          <w:szCs w:val="27"/>
        </w:rPr>
        <w:t>-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 </w:t>
      </w:r>
      <w:r>
        <w:rPr>
          <w:rFonts w:ascii="Calibri" w:hAnsi="Calibri" w:cs="Calibri"/>
          <w:i/>
          <w:iCs/>
          <w:color w:val="500050"/>
          <w:sz w:val="27"/>
          <w:szCs w:val="27"/>
        </w:rPr>
        <w:t>Per aver dimostrato capacità artistiche multidisciplinari (recitazione, mimo, danza, poesia) costringendo lo spettatore ad interrogarsi sulle profonde radici del rapporto con la propria anima.</w:t>
      </w:r>
    </w:p>
    <w:p w:rsidR="00010CEC" w:rsidRDefault="00010CEC" w:rsidP="00010CEC">
      <w:pPr>
        <w:pStyle w:val="NormaleWeb"/>
        <w:shd w:val="clear" w:color="auto" w:fill="FFFFFF"/>
        <w:spacing w:after="284" w:afterAutospacing="0"/>
        <w:jc w:val="both"/>
        <w:rPr>
          <w:color w:val="500050"/>
        </w:rPr>
      </w:pPr>
      <w:r>
        <w:rPr>
          <w:rFonts w:ascii="Calibri" w:hAnsi="Calibri" w:cs="Calibri"/>
          <w:b/>
          <w:bCs/>
          <w:i/>
          <w:iCs/>
          <w:color w:val="C5000B"/>
          <w:sz w:val="27"/>
          <w:szCs w:val="27"/>
        </w:rPr>
        <w:t>Oltre le distanze</w:t>
      </w:r>
      <w:r>
        <w:rPr>
          <w:rFonts w:ascii="Calibri" w:hAnsi="Calibri" w:cs="Calibri"/>
          <w:color w:val="500050"/>
          <w:sz w:val="27"/>
          <w:szCs w:val="27"/>
        </w:rPr>
        <w:t>, di 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Damiano Dzalagonia</w:t>
      </w:r>
      <w:r>
        <w:rPr>
          <w:rFonts w:ascii="Calibri" w:hAnsi="Calibri" w:cs="Calibri"/>
          <w:color w:val="500050"/>
          <w:sz w:val="27"/>
          <w:szCs w:val="27"/>
        </w:rPr>
        <w:t> - </w:t>
      </w:r>
      <w:r>
        <w:rPr>
          <w:rFonts w:ascii="Calibri" w:hAnsi="Calibri" w:cs="Calibri"/>
          <w:i/>
          <w:iCs/>
          <w:color w:val="500050"/>
          <w:sz w:val="27"/>
          <w:szCs w:val="27"/>
        </w:rPr>
        <w:t>Un cortometraggio che con estrema gentilezza descrive il difficile tempo della quarantena causato dal Covid-19, come ponte tra le persone oltre le distanze. Non esiste distanza che non possa essere ricoperta o diversità che non possa essere abbracciata. Fatto ciò, ci si può spingere ben oltre, in prossimità, per guardare insieme al futuro.</w:t>
      </w:r>
    </w:p>
    <w:p w:rsidR="00010CEC" w:rsidRDefault="00010CEC" w:rsidP="00010CEC">
      <w:pPr>
        <w:pStyle w:val="NormaleWeb"/>
        <w:shd w:val="clear" w:color="auto" w:fill="FFFFFF"/>
        <w:spacing w:after="240" w:afterAutospacing="0"/>
        <w:jc w:val="both"/>
        <w:rPr>
          <w:color w:val="500050"/>
        </w:rPr>
      </w:pPr>
      <w:r>
        <w:rPr>
          <w:rFonts w:ascii="Calibri" w:hAnsi="Calibri" w:cs="Calibri"/>
          <w:color w:val="500050"/>
          <w:sz w:val="27"/>
          <w:szCs w:val="27"/>
        </w:rPr>
        <w:t>Assegnato anche il </w:t>
      </w:r>
      <w:r>
        <w:rPr>
          <w:rFonts w:ascii="Calibri" w:hAnsi="Calibri" w:cs="Calibri"/>
          <w:b/>
          <w:bCs/>
          <w:color w:val="500050"/>
          <w:sz w:val="27"/>
          <w:szCs w:val="27"/>
          <w:u w:val="single"/>
        </w:rPr>
        <w:t>Premio del Pubblico</w:t>
      </w:r>
      <w:r>
        <w:rPr>
          <w:rFonts w:ascii="Calibri" w:hAnsi="Calibri" w:cs="Calibri"/>
          <w:color w:val="500050"/>
          <w:sz w:val="27"/>
          <w:szCs w:val="27"/>
        </w:rPr>
        <w:t>, assegnato grazie al voto online a: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br/>
      </w:r>
      <w:r>
        <w:rPr>
          <w:rFonts w:ascii="Calibri" w:hAnsi="Calibri" w:cs="Calibri"/>
          <w:b/>
          <w:bCs/>
          <w:color w:val="500050"/>
          <w:sz w:val="27"/>
          <w:szCs w:val="27"/>
        </w:rPr>
        <w:br/>
      </w:r>
      <w:r>
        <w:rPr>
          <w:rFonts w:ascii="Calibri" w:hAnsi="Calibri" w:cs="Calibri"/>
          <w:b/>
          <w:bCs/>
          <w:i/>
          <w:iCs/>
          <w:color w:val="C5000B"/>
          <w:sz w:val="27"/>
          <w:szCs w:val="27"/>
        </w:rPr>
        <w:t>Tutto finirà</w:t>
      </w:r>
      <w:r>
        <w:rPr>
          <w:rFonts w:ascii="Calibri" w:hAnsi="Calibri" w:cs="Calibri"/>
          <w:color w:val="500050"/>
          <w:sz w:val="27"/>
          <w:szCs w:val="27"/>
        </w:rPr>
        <w:t>, di </w:t>
      </w:r>
      <w:r>
        <w:rPr>
          <w:rFonts w:ascii="Calibri" w:hAnsi="Calibri" w:cs="Calibri"/>
          <w:b/>
          <w:bCs/>
          <w:color w:val="500050"/>
          <w:sz w:val="27"/>
          <w:szCs w:val="27"/>
        </w:rPr>
        <w:t>Federico Antonucci, </w:t>
      </w:r>
      <w:r>
        <w:rPr>
          <w:rFonts w:ascii="Calibri" w:hAnsi="Calibri" w:cs="Calibri"/>
          <w:color w:val="500050"/>
          <w:sz w:val="27"/>
          <w:szCs w:val="27"/>
        </w:rPr>
        <w:t>favola casalinga che libera i ricordi e i giochi dell’infanzia.</w:t>
      </w:r>
    </w:p>
    <w:p w:rsidR="00AA1312" w:rsidRDefault="00AA1312">
      <w:bookmarkStart w:id="0" w:name="_GoBack"/>
      <w:bookmarkEnd w:id="0"/>
    </w:p>
    <w:sectPr w:rsidR="00AA1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EC"/>
    <w:rsid w:val="00010CEC"/>
    <w:rsid w:val="00A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205"/>
  <w15:chartTrackingRefBased/>
  <w15:docId w15:val="{F4BFBF19-DB48-4C64-B4C3-DCA3F40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2020-05-15T11:52:00Z</dcterms:created>
  <dcterms:modified xsi:type="dcterms:W3CDTF">2020-05-15T11:53:00Z</dcterms:modified>
</cp:coreProperties>
</file>